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pBdr>
          <w:bottom w:val="single" w:sz="18" w:space="4" w:color="2F5496"/>
        </w:pBdr>
      </w:pPr>
      <w:r>
        <w:rPr>
          <w:b/>
          <w:color w:val="2F5496"/>
          <w:sz w:val="40"/>
        </w:rPr>
        <w:t>RBF Social HQ — Handoff / Resume Point (2026-10-08)</w:t>
      </w:r>
    </w:p>
    <w:p/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PROJECT STATE (ALL PLANNING COMPLETE; BUILD AUTHORIZED FOR PHASE 0 ONLY)</w:t>
      </w:r>
    </w:p>
    <w:p>
      <w:pPr>
        <w:pStyle w:val="ListBullet"/>
        <w:spacing w:after="80"/>
      </w:pPr>
      <w:r>
        <w:t>All 15 pre-build lock items are LOCKED. Authoritative references: the master memory "RBF Social HQ — MVP scope LOCKED + lock list 15/15 LOCKED + final consistency audit RESOLVED" plus the dedicated "lock list item #1" through "#15" memories.</w:t>
      </w:r>
    </w:p>
    <w:p>
      <w:pPr>
        <w:pStyle w:val="ListBullet"/>
        <w:spacing w:after="80"/>
      </w:pPr>
      <w:r>
        <w:t>Final consistency audit RESOLVED: (A) pattern-based recommendations live in a dedicated Patterns view (standing recs, always visible, not rate-limited) plus a one-time tier-crossing signal in the Today strip (option c; one-time per qualifying transition; subject to existing maturity / confidence / eligibility / suppression rules; a recompute that keeps the same tier does not re-fire); (B) the #14 no-backfill amendment reconciliation (language cleanup only, no parameter changes); (C) C1 starting follower count = first point on the Growth step line labeled "setup"; C2 partial-component posts = gaps on Trends.</w:t>
      </w:r>
    </w:p>
    <w:p>
      <w:pPr>
        <w:pStyle w:val="ListBullet"/>
        <w:spacing w:after="80"/>
      </w:pPr>
      <w:r>
        <w:t>RBF visual design system LOCKED: brand colors dusty rose #C08497 / sage #9CAF88 / powder blue #A8C3D4 / white #FFFFFF (hex to confirm against the logo); typography = Bodoni 72 always ALL CAPS (app titles + section headings + any Bodoni text), Cambria body, Brittany Signature sparing accents, clean sans-serif (Inter) for navigation / charts / analytics; mobile layout (bottom tab bar Today / Content / Growth / Trends / Patterns + Capture FAB, ~480px max width, ≥44px touch targets); chart styling (step lines, state-colored points, IQR band, gaps as breaks, milestone diamonds); accessibility (WCAG AA, color never the only channel).</w:t>
      </w:r>
    </w:p>
    <w:p>
      <w:pPr>
        <w:pStyle w:val="ListBullet"/>
        <w:spacing w:after="80"/>
      </w:pPr>
      <w:r>
        <w:t>Implementation-ready MVP build plan PRODUCED: Word doc "RBF_Social_HQ_-_MVP_Build_Plan.docx", download https://files.fullmetal975.duckdns.org/RBF_Social_HQ_-_MVP_Build_Plan.docx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CURRENT TASK (KRISTEN'S LATEST INSTRUCTION, 2026-10-08)</w:t>
      </w:r>
    </w:p>
    <w:p>
      <w:pPr>
        <w:spacing w:after="160" w:line="276" w:lineRule="auto"/>
      </w:pPr>
      <w:r>
        <w:t>Kristen approved the visual design system and the MVP specs. Constraints: do NOT reopen locked decisions or expand scope; she wants phase-by-phase review (authorize Phase 0 only, not the whole build at once). Before Phase 0, verify: (1) the build plan is accessible to JR (the developer); (2) brand hex confirmation has a clear resolution; (3) font sourcing / licensing has a clear resolution. Then proceed with Phase 0 only. Report what was completed, what was tested, and any blockers, and stop before Phase 1 for her review.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WHERE I LEFT OFF</w:t>
      </w:r>
    </w:p>
    <w:p>
      <w:pPr>
        <w:spacing w:after="160" w:line="276" w:lineRule="auto"/>
      </w:pPr>
      <w:r>
        <w:t>Only get_current_timestamp (2026-10-08) had been called. No verification work and no Phase 0 work has been done yet. This is the exact starting point — begin with the three verifications below.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NEXT STEPS (IN ORDER)</w:t>
      </w:r>
    </w:p>
    <w:p>
      <w:pPr>
        <w:spacing w:after="160" w:line="276" w:lineRule="auto"/>
      </w:pPr>
      <w:r>
        <w:t>1. Verify the build plan is accessible to JR: test https://files.fullmetal975.duckdns.org/RBF_Social_HQ_-_MVP_Build_Plan.docx is reachable and serves the file (curl -I / curl -s; check HTTP 200 + non-zero size + valid .docx). Confirm JR can reach it (public duckdns domain / home network).</w:t>
      </w:r>
    </w:p>
    <w:p>
      <w:pPr>
        <w:spacing w:after="160" w:line="276" w:lineRule="auto"/>
      </w:pPr>
      <w:r>
        <w:t>2. Brand hex confirmation: download her actual logo + signature and sample dominant colors, compare to the proposed hex, confirm or update, and record the confirmed values. Signature URL known: https://rewrittenbyfaith.com/wp-content/uploads/2026/10/kristen-signature.png (dusty-rose watercolor brushstroke). Find logo URLs by curling https://rewrittenbyfaith.com/ and grepping wp-content/uploads for logo png/svg. Sample with PIL quantize or ImageMagick histogram (check availability first).</w:t>
      </w:r>
    </w:p>
    <w:p>
      <w:pPr>
        <w:spacing w:after="160" w:line="276" w:lineRule="auto"/>
      </w:pPr>
      <w:r>
        <w:t>3. Font sourcing / licensing: check fonts available on kristen-desktop (fc-list / ls /usr/share/fonts and ~/.fonts) for Bodoni, Cambria, Brittany, Inter. Licensing: Inter = SIL OFL (free, self-host OK); Cambria = Microsoft (web-embedding rights restricted — flag; propose a free metrically-similar serif fallback or a Microsoft webfont license); Bodoni 72 = Commercial Type (commercial license required — flag); Brittany Signature = Fontalicious (free/personal + commercial tiers — flag). Decide self-host vs fallback per font and record the resolution.</w:t>
      </w:r>
    </w:p>
    <w:p>
      <w:pPr>
        <w:spacing w:after="160" w:line="276" w:lineRule="auto"/>
      </w:pPr>
      <w:r>
        <w:t>4. Phase 0 (Infrastructure) on kristen-desktop (192.168.50.127): Flask + SQLite scaffold (project dir, app.py, DB schema, requirements.txt), run on port 8090, nginx + password gate (proxy to 8090), vision API wiring (client to Qwen3.5-9B at http://192.168.50.127:8089/v1 — verify reachable first), self-hosted fonts (fonts dir + woff2), base layout + visual design system tokens (CSS). Be careful and reversible; do not break her live system; verify before modifying nginx / services.</w:t>
      </w:r>
    </w:p>
    <w:p>
      <w:pPr>
        <w:spacing w:after="160" w:line="276" w:lineRule="auto"/>
      </w:pPr>
      <w:r>
        <w:t>5. Report completed / tested / blockers. Stop before Phase 1 for her review.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KEY TECHNICAL FACTS</w:t>
      </w:r>
    </w:p>
    <w:p>
      <w:pPr>
        <w:pStyle w:val="ListBullet"/>
        <w:spacing w:after="80"/>
      </w:pPr>
      <w:r>
        <w:t>Build host: kristen-desktop (192.168.50.127); run_command target "kristen_desktop".</w:t>
      </w:r>
    </w:p>
    <w:p>
      <w:pPr>
        <w:pStyle w:val="ListBullet"/>
        <w:spacing w:after="80"/>
      </w:pPr>
      <w:r>
        <w:t>App: Flask + SQLite, port 8090. Access: password gate + nginx on fullmetal975.duckdns.org (Tailscale alternative on kristen-desktop).</w:t>
      </w:r>
    </w:p>
    <w:p>
      <w:pPr>
        <w:pStyle w:val="ListBullet"/>
        <w:spacing w:after="80"/>
      </w:pPr>
      <w:r>
        <w:t>Vision / extraction: local Qwen3.5-9B-Kristen on the kristen-desktop P100, llama.cpp OpenAI-compatible API http://192.168.50.127:8089/v1 (auto-starts on boot; accepts images via OpenAI image_url format).</w:t>
      </w:r>
    </w:p>
    <w:p>
      <w:pPr>
        <w:pStyle w:val="ListBullet"/>
        <w:spacing w:after="80"/>
      </w:pPr>
      <w:r>
        <w:t>File server: files.fullmetal975.duckdns.org (asrock's nginx).</w:t>
      </w:r>
    </w:p>
    <w:p>
      <w:pPr>
        <w:pStyle w:val="ListBullet"/>
        <w:spacing w:after="80"/>
      </w:pPr>
      <w:r>
        <w:t>run_command targets: asrock (asrock-desktop, default), z790, ai_node, ai_node_2, ai_node_3, kristen_desktop.</w:t>
      </w:r>
    </w:p>
    <w:p>
      <w:pPr>
        <w:pStyle w:val="ListBullet"/>
        <w:spacing w:after="80"/>
      </w:pPr>
      <w:r>
        <w:t>No backfill (locked #14): baselines build from live tracking; the app runs in accumulation mode until min-n = 5.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CONSTRAINTS / GUARDRAILS</w:t>
      </w:r>
    </w:p>
    <w:p>
      <w:pPr>
        <w:pStyle w:val="ListBullet"/>
        <w:spacing w:after="80"/>
      </w:pPr>
      <w:r>
        <w:t>Do not reopen the 15 locked decisions or expand scope.</w:t>
      </w:r>
    </w:p>
    <w:p>
      <w:pPr>
        <w:pStyle w:val="ListBullet"/>
        <w:spacing w:after="80"/>
      </w:pPr>
      <w:r>
        <w:t>Phase-by-phase: finish Phase 0, report, stop for her review before Phase 1.</w:t>
      </w:r>
    </w:p>
    <w:p>
      <w:pPr>
        <w:pStyle w:val="ListBullet"/>
        <w:spacing w:after="80"/>
      </w:pPr>
      <w:r>
        <w:t>Never invent numbers; missing = missing.</w:t>
      </w:r>
    </w:p>
    <w:p>
      <w:pPr>
        <w:pStyle w:val="ListBullet"/>
        <w:spacing w:after="80"/>
      </w:pPr>
      <w:r>
        <w:t>Be careful with her live system (nginx, services) — prefer reversible, non-destructive changes; verify before modifying.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OPEN ITEMS (THE TWO TO RESOLVE BEFORE PHASE 0)</w:t>
      </w:r>
    </w:p>
    <w:p>
      <w:pPr>
        <w:pStyle w:val="ListBullet"/>
        <w:spacing w:after="80"/>
      </w:pPr>
      <w:r>
        <w:t>Brand hex: confirm against the actual logo (sample colors).</w:t>
      </w:r>
    </w:p>
    <w:p>
      <w:pPr>
        <w:pStyle w:val="ListBullet"/>
        <w:spacing w:after="80"/>
      </w:pPr>
      <w:r>
        <w:t>Font sourcing / licensing: Bodoni 72 (commercial), Cambria (Microsoft web-embedding restricted), Brittany Signature (Fontalicious tiers), Inter (free). Decide self-host vs fallback.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