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18" w:space="4" w:color="2F5496"/>
        </w:pBdr>
      </w:pPr>
      <w:r>
        <w:rPr>
          <w:b/>
          <w:color w:val="2F5496"/>
          <w:sz w:val="40"/>
        </w:rPr>
        <w:t>Mixture-of-Experts Token Routing and Expert Count vs. Sparsity Tradeoffs</w:t>
      </w:r>
    </w:p>
    <w:p/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MIXTURE-OF-EXPERTS (MOE) TOKEN ROUTING AND EXPERT COUNT VS. SPARSITY TRADEOFFS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1. CORE MECHANISM: HOW MOE MODELS ROUTE TOKENS</w:t>
      </w:r>
    </w:p>
    <w:p>
      <w:pPr>
        <w:spacing w:after="160" w:line="276" w:lineRule="auto"/>
      </w:pPr>
      <w:r>
        <w:t>In a Mixture-of-Experts (MoE) architecture, the routing of tokens to experts is a two-stage process governed by a learned **gating network** (or **router**):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1.1. GATING NETWORK (ROUTER) OPERATION</w:t>
      </w:r>
    </w:p>
    <w:p>
      <w:pPr>
        <w:pStyle w:val="ListBullet"/>
        <w:spacing w:after="80"/>
      </w:pPr>
      <w:r>
        <w:t>The router takes the hidden state of an input token as input.</w:t>
      </w:r>
    </w:p>
    <w:p>
      <w:pPr>
        <w:pStyle w:val="ListBullet"/>
        <w:spacing w:after="80"/>
      </w:pPr>
      <w:r>
        <w:t>It applies a linear transformation followed by a softmax function to produce a probability distribution over all available experts.</w:t>
      </w:r>
    </w:p>
    <w:p>
      <w:pPr>
        <w:pStyle w:val="ListBullet"/>
        <w:spacing w:after="80"/>
      </w:pPr>
      <w:r>
        <w:t>This distribution represents the router's confidence in each expert's ability to process the token.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1.2. TOP-K SELECTION AND ACTIVATION</w:t>
      </w:r>
    </w:p>
    <w:p>
      <w:pPr>
        <w:pStyle w:val="ListBullet"/>
        <w:spacing w:after="80"/>
      </w:pPr>
      <w:r>
        <w:t>The router selects the **top-k** experts based on their predicted probabilities.</w:t>
      </w:r>
    </w:p>
    <w:p>
      <w:pPr>
        <w:pStyle w:val="ListBullet"/>
        <w:spacing w:after="80"/>
      </w:pPr>
      <w:r>
        <w:t>Only these k experts are activated to process the token.</w:t>
      </w:r>
    </w:p>
    <w:p>
      <w:pPr>
        <w:pStyle w:val="ListBullet"/>
        <w:spacing w:after="80"/>
      </w:pPr>
      <w:r>
        <w:t>The outputs from the selected experts are then combined via a **weighted sum**, where the weights are the gating probabilities.</w:t>
      </w:r>
    </w:p>
    <w:p>
      <w:pPr>
        <w:spacing w:after="160" w:line="276" w:lineRule="auto"/>
      </w:pPr>
      <w:r>
        <w:t>**Mathematical Formulation**:</w:t>
      </w:r>
    </w:p>
    <w:p>
      <w:pPr>
        <w:spacing w:after="160" w:line="276" w:lineRule="auto"/>
      </w:pPr>
      <w:r>
        <w:t>$$</w:t>
      </w:r>
    </w:p>
    <w:p>
      <w:pPr>
        <w:spacing w:after="160" w:line="276" w:lineRule="auto"/>
      </w:pPr>
      <w:r>
        <w:t>y = \sum_{i=1}^{k} G(x)_i \cdot E_i(x)</w:t>
      </w:r>
    </w:p>
    <w:p>
      <w:pPr>
        <w:spacing w:after="160" w:line="276" w:lineRule="auto"/>
      </w:pPr>
      <w:r>
        <w:t>$$</w:t>
      </w:r>
    </w:p>
    <w:p>
      <w:pPr>
        <w:spacing w:after="160" w:line="276" w:lineRule="auto"/>
      </w:pPr>
      <w:r>
        <w:t>Where:</w:t>
      </w:r>
    </w:p>
    <w:p>
      <w:pPr>
        <w:pStyle w:val="ListBullet"/>
        <w:spacing w:after="80"/>
      </w:pPr>
      <w:r>
        <w:t>$y$ is the final output</w:t>
      </w:r>
    </w:p>
    <w:p>
      <w:pPr>
        <w:pStyle w:val="ListBullet"/>
        <w:spacing w:after="80"/>
      </w:pPr>
      <w:r>
        <w:t>$G(x)_i$ is the gating score for expert $i$</w:t>
      </w:r>
    </w:p>
    <w:p>
      <w:pPr>
        <w:pStyle w:val="ListBullet"/>
        <w:spacing w:after="80"/>
      </w:pPr>
      <w:r>
        <w:t>$E_i(x)$ is the output of expert $i$</w:t>
      </w:r>
    </w:p>
    <w:p>
      <w:pPr>
        <w:pStyle w:val="ListBullet"/>
        <w:spacing w:after="80"/>
      </w:pPr>
      <w:r>
        <w:t>$k$ is the number of experts selected per token</w:t>
      </w:r>
    </w:p>
    <w:p>
      <w:pPr>
        <w:spacing w:after="160" w:line="276" w:lineRule="auto"/>
      </w:pPr>
      <w:r>
        <w:t>This mechanism enables **conditional computation**: only a fraction of the total model parameters are active per token, decoupling model capacity from computational cost.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2. THE ROLE OF EXPERT COUNT AND ACTIVATION SPARSITY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2.1. EXPERT COUNT: THE CAPACITY DIMENSION</w:t>
      </w:r>
    </w:p>
    <w:p>
      <w:pPr>
        <w:pStyle w:val="ListBullet"/>
        <w:spacing w:after="80"/>
      </w:pPr>
      <w:r>
        <w:t>**Definition**: The total number of independent expert sub-networks in a single MoE layer.</w:t>
      </w:r>
    </w:p>
    <w:p>
      <w:pPr>
        <w:pStyle w:val="ListBullet"/>
        <w:spacing w:after="80"/>
      </w:pPr>
      <w:r>
        <w:t>**Impact on Capacity**: A higher number of experts increases the model's total parameter count and its ability to learn diverse, specialized representations.</w:t>
      </w:r>
    </w:p>
    <w:p>
      <w:pPr>
        <w:pStyle w:val="ListBullet"/>
        <w:spacing w:after="80"/>
      </w:pPr>
      <w:r>
        <w:t>**Tradeoff**: More experts mean higher memory requirements (all experts must be loaded into VRAM) and increased routing complexity.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2.2. ACTIVATION SPARSITY: THE EFFICIENCY DIMENSION</w:t>
      </w:r>
    </w:p>
    <w:p>
      <w:pPr>
        <w:pStyle w:val="ListBullet"/>
        <w:spacing w:after="80"/>
      </w:pPr>
      <w:r>
        <w:t>**Definition**: The fraction of total experts activated per token (e.g., top-2 routing means 2 out of 64 experts are active).</w:t>
      </w:r>
    </w:p>
    <w:p>
      <w:pPr>
        <w:pStyle w:val="ListBullet"/>
        <w:spacing w:after="80"/>
      </w:pPr>
      <w:r>
        <w:t>**Impact on Efficiency**: Higher sparsity (lower k) reduces inference compute and memory bandwidth usage.</w:t>
      </w:r>
    </w:p>
    <w:p>
      <w:pPr>
        <w:pStyle w:val="ListBullet"/>
        <w:spacing w:after="80"/>
      </w:pPr>
      <w:r>
        <w:t>**Tradeoff**: Excessive sparsity can lead to **expert underutilization** and **routing collapse** (where the router consistently selects the same few experts).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3. KEY TRADEOFFS BETWEEN EXPERT COUNT AND ACTIVATION SPARSITY</w:t>
      </w:r>
    </w:p>
    <w:p>
      <w:pPr>
        <w:spacing w:after="160" w:line="276" w:lineRule="auto"/>
      </w:pPr>
      <w:r>
        <w:t>| Tradeoff | High Expert Count | Low Expert Count |</w:t>
      </w:r>
    </w:p>
    <w:p>
      <w:pPr>
        <w:spacing w:after="160" w:line="276" w:lineRule="auto"/>
      </w:pPr>
      <w:r>
        <w:t>|---------|-------------------|------------------|</w:t>
      </w:r>
    </w:p>
    <w:p>
      <w:pPr>
        <w:spacing w:after="160" w:line="276" w:lineRule="auto"/>
      </w:pPr>
      <w:r>
        <w:t>| **Model Capacity** | ✅ High (more specialized knowledge) | ❌ Lower (less capacity) |</w:t>
      </w:r>
    </w:p>
    <w:p>
      <w:pPr>
        <w:spacing w:after="160" w:line="276" w:lineRule="auto"/>
      </w:pPr>
      <w:r>
        <w:t>| **Inference Efficiency** | ⚠️ Depends on sparsity; high count can hurt if not properly balanced | ✅ High (fewer experts to route) |</w:t>
      </w:r>
    </w:p>
    <w:p>
      <w:pPr>
        <w:spacing w:after="160" w:line="276" w:lineRule="auto"/>
      </w:pPr>
      <w:r>
        <w:t>| **Memory Usage** | ❌ High (all experts must be loaded) | ✅ Lower |</w:t>
      </w:r>
    </w:p>
    <w:p>
      <w:pPr>
        <w:spacing w:after="160" w:line="276" w:lineRule="auto"/>
      </w:pPr>
      <w:r>
        <w:t>| **Routing Complexity** | ❌ High (more routing decisions) | ✅ Lower |</w:t>
      </w:r>
    </w:p>
    <w:p>
      <w:pPr>
        <w:spacing w:after="160" w:line="276" w:lineRule="auto"/>
      </w:pPr>
      <w:r>
        <w:t>| **Training Stability** | ⚠️ Challenging (risk of expert collapse) | ✅ More stable |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3.1. THE EXPERT COLLAPSE PROBLEM</w:t>
      </w:r>
    </w:p>
    <w:p>
      <w:pPr>
        <w:pStyle w:val="ListBullet"/>
        <w:spacing w:after="80"/>
      </w:pPr>
      <w:r>
        <w:t>**Cause**: The router tends to converge to favoring a small subset of experts due to feedback loops.</w:t>
      </w:r>
    </w:p>
    <w:p>
      <w:pPr>
        <w:pStyle w:val="ListBullet"/>
        <w:spacing w:after="80"/>
      </w:pPr>
      <w:r>
        <w:t>**Consequence**: Other experts become undertrained and ineffective, reducing model capacity.</w:t>
      </w:r>
    </w:p>
    <w:p>
      <w:pPr>
        <w:pStyle w:val="ListBullet"/>
        <w:spacing w:after="80"/>
      </w:pPr>
      <w:r>
        <w:t>**Solutions**:</w:t>
      </w:r>
    </w:p>
    <w:p>
      <w:pPr>
        <w:pStyle w:val="ListBullet"/>
        <w:spacing w:after="80"/>
      </w:pPr>
      <w:r>
        <w:t>**Auxiliary Load-Balancing Loss**: Penalizes uneven expert utilization during training.</w:t>
      </w:r>
    </w:p>
    <w:p>
      <w:pPr>
        <w:pStyle w:val="ListBullet"/>
        <w:spacing w:after="80"/>
      </w:pPr>
      <w:r>
        <w:t>**Noisy Top-k Gating**: Adds random noise to routing scores to encourage diversity.</w:t>
      </w:r>
    </w:p>
    <w:p>
      <w:pPr>
        <w:pStyle w:val="ListBullet"/>
        <w:spacing w:after="80"/>
      </w:pPr>
      <w:r>
        <w:t>**Dynamic Bias Terms**: Adjust expert scores in real-time based on recent usage (e.g., DeepSeek-V3).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3.2. EXPERT CAPACITY AND OVERFLOW</w:t>
      </w:r>
    </w:p>
    <w:p>
      <w:pPr>
        <w:pStyle w:val="ListBullet"/>
        <w:spacing w:after="80"/>
      </w:pPr>
      <w:r>
        <w:t>**Definition**: The maximum number of tokens an expert can process per batch.</w:t>
      </w:r>
    </w:p>
    <w:p>
      <w:pPr>
        <w:pStyle w:val="ListBullet"/>
        <w:spacing w:after="80"/>
      </w:pPr>
      <w:r>
        <w:t>**Problem**: If too many tokens are routed to one expert, it becomes a bottleneck.</w:t>
      </w:r>
    </w:p>
    <w:p>
      <w:pPr>
        <w:pStyle w:val="ListBullet"/>
        <w:spacing w:after="80"/>
      </w:pPr>
      <w:r>
        <w:t>**Solution**: Use a **capacity factor** (e.g., 1.25) to allow buffer space; tokens exceeding capacity are dropped and passed via residual connection.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4. REAL-WORLD EXAMPLES AND SCALING INSIGHTS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4.1. DEEPSEEK-V3 (671B TOTAL, 37B ACTIVE)</w:t>
      </w:r>
    </w:p>
    <w:p>
      <w:pPr>
        <w:pStyle w:val="ListBullet"/>
        <w:spacing w:after="80"/>
      </w:pPr>
      <w:r>
        <w:t>**256 fine-grained experts** with **top-8 routing**.</w:t>
      </w:r>
    </w:p>
    <w:p>
      <w:pPr>
        <w:pStyle w:val="ListBullet"/>
        <w:spacing w:after="80"/>
      </w:pPr>
      <w:r>
        <w:t>Uses a **shared expert** to process all tokens, ensuring no information loss.</w:t>
      </w:r>
    </w:p>
    <w:p>
      <w:pPr>
        <w:pStyle w:val="ListBullet"/>
        <w:spacing w:after="80"/>
      </w:pPr>
      <w:r>
        <w:t>**Auxiliary-loss-free load balancing** via dynamic bias terms.</w:t>
      </w:r>
    </w:p>
    <w:p>
      <w:pPr>
        <w:pStyle w:val="ListBullet"/>
        <w:spacing w:after="80"/>
      </w:pPr>
      <w:r>
        <w:t>Achieves frontier-level performance with 5.5% active parameter utilization.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4.2. MIXTRAL 8X7B (47B TOTAL, 12.9B ACTIVE)</w:t>
      </w:r>
    </w:p>
    <w:p>
      <w:pPr>
        <w:pStyle w:val="ListBullet"/>
        <w:spacing w:after="80"/>
      </w:pPr>
      <w:r>
        <w:t>**8 experts** with **top-2 routing**.</w:t>
      </w:r>
    </w:p>
    <w:p>
      <w:pPr>
        <w:pStyle w:val="ListBullet"/>
        <w:spacing w:after="80"/>
      </w:pPr>
      <w:r>
        <w:t>Simpler architecture with strong open-source adoption.</w:t>
      </w:r>
    </w:p>
    <w:p>
      <w:pPr>
        <w:pStyle w:val="ListBullet"/>
        <w:spacing w:after="80"/>
      </w:pPr>
      <w:r>
        <w:t>Outperforms Llama 2 70B with 1/5 the inference compute.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4.3. SCALING TRENDS</w:t>
      </w:r>
    </w:p>
    <w:p>
      <w:pPr>
        <w:pStyle w:val="ListBullet"/>
        <w:spacing w:after="80"/>
      </w:pPr>
      <w:r>
        <w:t>**Diminishing Returns**: Beyond 256–512 experts, gains in sample efficiency plateau.</w:t>
      </w:r>
    </w:p>
    <w:p>
      <w:pPr>
        <w:pStyle w:val="ListBullet"/>
        <w:spacing w:after="80"/>
      </w:pPr>
      <w:r>
        <w:t>**Fine-Grained vs. Coarse-Grained**: More experts (fine-grained) allow more specialized routing but increase complexity.</w:t>
      </w:r>
    </w:p>
    <w:p>
      <w:pPr>
        <w:pStyle w:val="ListBullet"/>
        <w:spacing w:after="80"/>
      </w:pPr>
      <w:r>
        <w:t>**Capacity Factor**: Low values (1.0–1.25) are often optimal for training; higher values (2.0) used during inference.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5. PRACTICAL IMPLICATIONS FOR DEPLOYMENT</w:t>
      </w:r>
    </w:p>
    <w:p>
      <w:pPr>
        <w:pStyle w:val="ListBullet"/>
        <w:spacing w:after="80"/>
      </w:pPr>
      <w:r>
        <w:t>**High-Performance Inference**: MoE models offer 3–5x better performance per compute dollar than dense equivalents.</w:t>
      </w:r>
    </w:p>
    <w:p>
      <w:pPr>
        <w:pStyle w:val="ListBullet"/>
        <w:spacing w:after="80"/>
      </w:pPr>
      <w:r>
        <w:t>**Memory Constraints**: All parameters must be loaded, making consumer GPU deployment impractical without quantization.</w:t>
      </w:r>
    </w:p>
    <w:p>
      <w:pPr>
        <w:pStyle w:val="ListBullet"/>
        <w:spacing w:after="80"/>
      </w:pPr>
      <w:r>
        <w:t>**Fine-Tuning**: MoEs are more prone to overfitting; **instruction tuning** significantly improves performance.</w:t>
      </w:r>
    </w:p>
    <w:p>
      <w:pPr>
        <w:pStyle w:val="ListBullet"/>
        <w:spacing w:after="80"/>
      </w:pPr>
      <w:r>
        <w:t>**Serving**: Techniques like **expert aggregation** (merging experts) or **distillation** (compressing MoE to dense) can reduce inference cost.</w:t>
      </w:r>
    </w:p>
    <w:p>
      <w:pPr>
        <w:spacing w:before="280" w:after="80"/>
        <w:pBdr>
          <w:bottom w:val="single" w:sz="6" w:space="1" w:color="2F5496"/>
        </w:pBdr>
      </w:pPr>
      <w:r>
        <w:rPr>
          <w:b/>
          <w:color w:val="2F5496"/>
          <w:sz w:val="24"/>
        </w:rPr>
        <w:t>6. SUMMARY</w:t>
      </w:r>
    </w:p>
    <w:p>
      <w:pPr>
        <w:spacing w:after="160" w:line="276" w:lineRule="auto"/>
      </w:pPr>
      <w:r>
        <w:t>Mixture-of-Experts models achieve massive scale and efficiency by routing tokens to a small subset of experts. The balance between **expert count** (capacity) and **activation sparsity** (efficiency) is critical. While more experts increase model capacity, they also increase routing complexity and memory overhead. Sparsity improves efficiency but risks instability. The most successful models (e.g., DeepSeek-V3, DBRX) use fine-grained experts, shared experts, and advanced load-balancing strategies to achieve both high capacity and stable, efficient inference. The future lies in optimizing this tradeoff through smarter routing, dynamic capacity, and hybrid architectures.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